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AA" w:rsidRPr="00A32A17" w:rsidRDefault="00D73BAA" w:rsidP="00D73BA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color w:val="auto"/>
          <w:spacing w:val="0"/>
          <w:w w:val="100"/>
          <w:sz w:val="28"/>
          <w:szCs w:val="28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8"/>
          <w:szCs w:val="28"/>
          <w:lang w:eastAsia="ru-RU"/>
        </w:rPr>
        <w:t>ПРОФИЛАКТИЧЕСКИЕ МЕДИЦИНСКИЕ ОСМОТРЫ И ДИСПАНСЕРИЗАЦИЯ</w:t>
      </w:r>
    </w:p>
    <w:p w:rsidR="00C76E10" w:rsidRPr="00C76E10" w:rsidRDefault="003C043D" w:rsidP="00D01789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</w:pPr>
      <w:r w:rsidRPr="00C76E10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>С апреля  2021 года вступил в силу новый порядок проведения профилактического медицинского осмотра и диспансеризации взрослого населения, утвержденный приказом Министерства здравоохранения Российской Федерации от 27.04.2021 № 404</w:t>
      </w:r>
      <w:r w:rsidR="00C76E10" w:rsidRPr="00C76E10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>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="00C76E10" w:rsidRPr="00C76E10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 xml:space="preserve">пп </w:t>
      </w:r>
      <w:bookmarkStart w:id="0" w:name="_GoBack"/>
      <w:bookmarkEnd w:id="0"/>
      <w:r w:rsidR="00104E4C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>вз</w:t>
      </w:r>
      <w:r w:rsidR="00C76E10" w:rsidRPr="00C76E10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>р</w:t>
      </w:r>
      <w:proofErr w:type="gramEnd"/>
      <w:r w:rsidR="00C76E10" w:rsidRPr="00C76E10">
        <w:rPr>
          <w:rFonts w:ascii="Arial" w:eastAsia="Times New Roman" w:hAnsi="Arial" w:cs="Arial"/>
          <w:i/>
          <w:color w:val="auto"/>
          <w:spacing w:val="0"/>
          <w:w w:val="100"/>
          <w:lang w:eastAsia="ru-RU"/>
        </w:rPr>
        <w:t>ослого населения».</w:t>
      </w:r>
    </w:p>
    <w:p w:rsidR="00D73BAA" w:rsidRPr="00A32A17" w:rsidRDefault="00D73BAA" w:rsidP="00D01789">
      <w:pPr>
        <w:shd w:val="clear" w:color="auto" w:fill="FFFFFF" w:themeFill="background1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lang w:eastAsia="ru-RU"/>
        </w:rPr>
        <w:t>Диспансеризация предполагает профилактический медицинский осмотр и дополнительные методы обследований в целях оценки состояния здоровья (включая определение группы здоровья и группы диспансерного наблюдения) определенных групп населения.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lang w:eastAsia="ru-RU"/>
        </w:rPr>
        <w:t>Профилактический медицинский осмотр проводится для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для определения групп здоровья и выработки рекомендаций для пациентов.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Диспансеризация взрослого населения (18 лет и старше) осуществляется в отношении граждан, имеющих полис ОМС.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Диспансеризация осуществляется в два этапа. Цель первого этапа диспансеризации (скрининга) - выявление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определение группы здоровья, а также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Второй этап диспансеризации проводится с целью дополнительного обследования и уточнения диагноза заболевания (состояния). Участвующие на данном этапе в осмотре гражданина врачи-специалисты, а также перечень проводимых обследований зависят от возраста гражданина и (или) наличия соответствующих показаний.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ее объем.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Если в ходе диспансеризации будут установлены медицинские показания к проведению дополнительных исследований, осмотров и мероприятий, не входящих в объем диспансеризации, они будут назначены и проведены пациенту с учетом порядка оказания медицинской </w:t>
      </w:r>
      <w:proofErr w:type="gramStart"/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помощи</w:t>
      </w:r>
      <w:proofErr w:type="gramEnd"/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по профилю выявленного или предполагаемого заболевания (состояния).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Диспансеризация в отношении граждан в возрасте от 18 до 39 лет включительно проводится раз в три года (то есть в возрасте 18, 21, 24, 27, 30, 33, 36 и 39 лет).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Г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раждан</w:t>
      </w:r>
      <w:r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е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в возрасте 40 лет и старше</w:t>
      </w:r>
      <w:r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вправе проходить диспансеризацию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ежегодно.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Граждане, переболевшие COVID-19, вправе дополнительно пройти углубленную диспансеризацию, включающую исследования и медицинские вмешательства по установленному перечню. Такая диспансеризация проводится не ранее 60 календарных дней после выздоровления.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</w:p>
    <w:p w:rsidR="00D73BAA" w:rsidRDefault="00D73BAA" w:rsidP="00D73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Чтобы пройти диспансеризацию, Вы можете обратиться </w:t>
      </w:r>
      <w:r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в медицинскую организацию, к которой прикреплены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.</w:t>
      </w:r>
    </w:p>
    <w:p w:rsidR="00D73BAA" w:rsidRPr="00A32A17" w:rsidRDefault="00D73BAA" w:rsidP="00D73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</w:p>
    <w:p w:rsidR="00D73BAA" w:rsidRPr="00A32A17" w:rsidRDefault="00D73BAA" w:rsidP="00D73B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 xml:space="preserve"> При обращении нужно предъявить всего два документа – паспорт и полис обязательного медицинского страхования.</w:t>
      </w:r>
    </w:p>
    <w:p w:rsidR="00D73BAA" w:rsidRPr="00A32A17" w:rsidRDefault="00D73BAA" w:rsidP="00D73B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pacing w:val="0"/>
          <w:w w:val="100"/>
          <w:sz w:val="32"/>
          <w:szCs w:val="32"/>
          <w:lang w:eastAsia="ru-RU"/>
        </w:rPr>
        <w:sectPr w:rsidR="00D73BAA" w:rsidRPr="00A32A17" w:rsidSect="003A375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lastRenderedPageBreak/>
        <w:t>Профилактические осмотры граждан  18 лет  и старше проводятся ежегодно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и включают в себя: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1)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 xml:space="preserve">анкетирование 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граждан в целях сбора анамнеза, выявления жалоб, симптомов, характерных для </w:t>
      </w:r>
      <w:proofErr w:type="gramStart"/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сердечно-сосудистых</w:t>
      </w:r>
      <w:proofErr w:type="gramEnd"/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, бронхо-легочных заболеваний, заболеваний желудочно-кишечного тракта; определения факторов риска, повышающих вероятность развития хронических неинфекционных заболеваний;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2)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измерение роста, массы тела, окружности талии, расчет индекса массы тела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;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3)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измерение артериального давления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;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4)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исследование уровня общего холестерина в крови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5)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определение уровня глюкозы в крови натощак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;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6)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 xml:space="preserve">определение относительного </w:t>
      </w:r>
      <w:proofErr w:type="gramStart"/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сердечно-сосудистого</w:t>
      </w:r>
      <w:proofErr w:type="gramEnd"/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риска у граждан в возрасте от 18 до 39 лет включительно;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7)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 xml:space="preserve">определение абсолютного </w:t>
      </w:r>
      <w:proofErr w:type="gramStart"/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сердечно-сосудистого</w:t>
      </w:r>
      <w:proofErr w:type="gramEnd"/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 xml:space="preserve"> риска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у граждан в возрасте от 40 до 64 лет включительно;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8)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флюорографию легких или рентгенографию легких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для граждан в возрасте 18 лет и старше 1 раз в 2 года;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9)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электрокардиографию в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покое при первом прохождении профилактического медицинского осмотра, далее в возрасте 35 лет и старше;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10)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измерение внутриглазного давления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при первом прохождении профилактического медицинского осмотра, далее в возрасте 40 лет и старше;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11)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осмотр женщин фельдшером (акушеркой) или врачом акушером-гинекологом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bookmarkStart w:id="1" w:name="Par170"/>
      <w:bookmarkStart w:id="2" w:name="Par171"/>
      <w:bookmarkEnd w:id="1"/>
      <w:bookmarkEnd w:id="2"/>
      <w:proofErr w:type="gramStart"/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12)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прием (осмотр)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</w:t>
      </w: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2"/>
          <w:szCs w:val="22"/>
          <w:lang w:eastAsia="ru-RU"/>
        </w:rPr>
        <w:t>врачом-терапевтом</w:t>
      </w:r>
      <w:r w:rsidRPr="00A32A17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</w:p>
    <w:p w:rsidR="00D73BAA" w:rsidRPr="00A32A17" w:rsidRDefault="00D73BAA" w:rsidP="00D73B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pacing w:val="0"/>
          <w:w w:val="100"/>
          <w:sz w:val="18"/>
          <w:szCs w:val="18"/>
          <w:lang w:eastAsia="ru-RU"/>
        </w:rPr>
      </w:pPr>
      <w:r w:rsidRPr="00A32A17">
        <w:rPr>
          <w:rFonts w:ascii="Arial" w:eastAsia="Times New Roman" w:hAnsi="Arial" w:cs="Arial"/>
          <w:b/>
          <w:bCs/>
          <w:color w:val="auto"/>
          <w:spacing w:val="0"/>
          <w:w w:val="100"/>
          <w:sz w:val="18"/>
          <w:szCs w:val="18"/>
          <w:lang w:eastAsia="ru-RU"/>
        </w:rPr>
        <w:t>ПЕРЕЧЕНЬ ДОПОЛНИТЕЛЬНЫХ ОСМОТРОВ, ИССЛЕДОВАНИЙ, МЕРОПРИЯТИЙ, ПРОВОДИМЫХ В РАМКАХ ПЕРВОГО ЭТАПА ДИСПАНСЕРИЗАЦИИ</w:t>
      </w:r>
    </w:p>
    <w:tbl>
      <w:tblPr>
        <w:tblW w:w="10213" w:type="dxa"/>
        <w:tblInd w:w="101" w:type="dxa"/>
        <w:tblBorders>
          <w:top w:val="single" w:sz="4" w:space="0" w:color="36965B"/>
          <w:left w:val="single" w:sz="4" w:space="0" w:color="36965B"/>
          <w:bottom w:val="single" w:sz="4" w:space="0" w:color="36965B"/>
          <w:right w:val="single" w:sz="4" w:space="0" w:color="36965B"/>
          <w:insideH w:val="single" w:sz="4" w:space="0" w:color="36965B"/>
          <w:insideV w:val="single" w:sz="4" w:space="0" w:color="36965B"/>
        </w:tblBorders>
        <w:tblLook w:val="04A0" w:firstRow="1" w:lastRow="0" w:firstColumn="1" w:lastColumn="0" w:noHBand="0" w:noVBand="1"/>
      </w:tblPr>
      <w:tblGrid>
        <w:gridCol w:w="4943"/>
        <w:gridCol w:w="972"/>
        <w:gridCol w:w="2766"/>
        <w:gridCol w:w="1532"/>
      </w:tblGrid>
      <w:tr w:rsidR="00D73BAA" w:rsidRPr="00A32A17" w:rsidTr="001D34EB">
        <w:trPr>
          <w:trHeight w:val="193"/>
        </w:trPr>
        <w:tc>
          <w:tcPr>
            <w:tcW w:w="4943" w:type="dxa"/>
            <w:vMerge w:val="restart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270" w:type="dxa"/>
            <w:gridSpan w:val="3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Возраст, лет</w:t>
            </w:r>
          </w:p>
        </w:tc>
      </w:tr>
      <w:tr w:rsidR="00D73BAA" w:rsidRPr="00A32A17" w:rsidTr="001D34EB">
        <w:trPr>
          <w:trHeight w:val="287"/>
        </w:trPr>
        <w:tc>
          <w:tcPr>
            <w:tcW w:w="4943" w:type="dxa"/>
            <w:vMerge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18-39</w:t>
            </w: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40-64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65 и старше</w:t>
            </w:r>
          </w:p>
        </w:tc>
      </w:tr>
      <w:tr w:rsidR="00D73BAA" w:rsidRPr="00A32A17" w:rsidTr="001D34EB">
        <w:trPr>
          <w:trHeight w:val="528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5270" w:type="dxa"/>
            <w:gridSpan w:val="3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 раз в 3 года</w:t>
            </w:r>
          </w:p>
        </w:tc>
      </w:tr>
      <w:tr w:rsidR="00D73BAA" w:rsidRPr="00A32A17" w:rsidTr="001D34EB">
        <w:trPr>
          <w:trHeight w:val="315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Общий анализ крови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4298" w:type="dxa"/>
            <w:gridSpan w:val="2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ежегодно</w:t>
            </w:r>
          </w:p>
        </w:tc>
      </w:tr>
      <w:tr w:rsidR="00D73BAA" w:rsidRPr="00A32A17" w:rsidTr="001D34EB">
        <w:trPr>
          <w:trHeight w:val="654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104E4C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hyperlink r:id="rId5" w:anchor="RANGE!Par2204" w:history="1">
              <w:r w:rsidR="00D73BAA" w:rsidRPr="00A32A17">
                <w:rPr>
                  <w:rFonts w:ascii="Arial" w:eastAsia="Times New Roman" w:hAnsi="Arial" w:cs="Arial"/>
                  <w:b/>
                  <w:color w:val="auto"/>
                  <w:spacing w:val="0"/>
                  <w:w w:val="100"/>
                  <w:sz w:val="22"/>
                  <w:szCs w:val="22"/>
                  <w:lang w:eastAsia="ru-RU"/>
                </w:rPr>
                <w:t>Исследование кала на скрытую кровь иммунохимическим методом</w:t>
              </w:r>
            </w:hyperlink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 раз в 2 года (в годы, когда возраст делится на 2)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ежегодно с 65 до 75 лет</w:t>
            </w:r>
          </w:p>
        </w:tc>
      </w:tr>
      <w:tr w:rsidR="00D73BAA" w:rsidRPr="00A32A17" w:rsidTr="001D34EB">
        <w:trPr>
          <w:trHeight w:val="439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proofErr w:type="spellStart"/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45 лет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D73BAA" w:rsidRPr="00A32A17" w:rsidTr="001D34EB">
        <w:trPr>
          <w:trHeight w:val="416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Определение </w:t>
            </w:r>
            <w:proofErr w:type="gramStart"/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простат-специфического</w:t>
            </w:r>
            <w:proofErr w:type="gramEnd"/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антигена (ПСА) в крови (мужчинам)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45, 50, 55, 60, 64 года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D73BAA" w:rsidRPr="00A32A17" w:rsidTr="001D34EB">
        <w:trPr>
          <w:trHeight w:val="678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104E4C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hyperlink r:id="rId6" w:anchor="RANGE!Par2204" w:history="1">
              <w:r w:rsidR="00D73BAA" w:rsidRPr="00A32A17">
                <w:rPr>
                  <w:rFonts w:ascii="Arial" w:eastAsia="Times New Roman" w:hAnsi="Arial" w:cs="Arial"/>
                  <w:b/>
                  <w:color w:val="auto"/>
                  <w:spacing w:val="0"/>
                  <w:w w:val="100"/>
                  <w:sz w:val="22"/>
                  <w:szCs w:val="22"/>
                  <w:lang w:eastAsia="ru-RU"/>
                </w:rPr>
                <w:t>Маммография обеих молочных желез в двух проекциях</w:t>
              </w:r>
            </w:hyperlink>
            <w:r w:rsidR="00D73BAA"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(женщинам)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  <w:tc>
          <w:tcPr>
            <w:tcW w:w="2766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 раз в 2 года (в годы, когда возраст делится на 2)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66, 68, 70, 72, 74  года</w:t>
            </w:r>
          </w:p>
        </w:tc>
      </w:tr>
      <w:tr w:rsidR="00D73BAA" w:rsidRPr="00A32A17" w:rsidTr="001D34EB">
        <w:trPr>
          <w:trHeight w:val="630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104E4C" w:rsidP="001D34EB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hyperlink r:id="rId7" w:anchor="RANGE!Par2204" w:history="1">
              <w:r w:rsidR="00D73BAA" w:rsidRPr="00A32A17">
                <w:rPr>
                  <w:rFonts w:ascii="Arial" w:eastAsia="Times New Roman" w:hAnsi="Arial" w:cs="Arial"/>
                  <w:b/>
                  <w:color w:val="auto"/>
                  <w:spacing w:val="0"/>
                  <w:w w:val="100"/>
                  <w:sz w:val="22"/>
                  <w:szCs w:val="22"/>
                  <w:lang w:eastAsia="ru-RU"/>
                </w:rPr>
                <w:t>Цитологическое исследование мазка с шейки матки</w:t>
              </w:r>
            </w:hyperlink>
            <w:r w:rsidR="00D73BAA"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 xml:space="preserve"> (женщинам)</w:t>
            </w:r>
          </w:p>
        </w:tc>
        <w:tc>
          <w:tcPr>
            <w:tcW w:w="3738" w:type="dxa"/>
            <w:gridSpan w:val="2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 раз в 3 года (в годы, когда возраст делится на 3)</w:t>
            </w:r>
          </w:p>
        </w:tc>
        <w:tc>
          <w:tcPr>
            <w:tcW w:w="153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</w:p>
        </w:tc>
      </w:tr>
      <w:tr w:rsidR="00D73BAA" w:rsidRPr="00A32A17" w:rsidTr="001D34EB">
        <w:trPr>
          <w:trHeight w:val="1818"/>
        </w:trPr>
        <w:tc>
          <w:tcPr>
            <w:tcW w:w="4943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rPr>
                <w:b/>
                <w:color w:val="auto"/>
                <w:sz w:val="22"/>
                <w:szCs w:val="22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Прием (осмотр) врачом-терапевтом по результатам первого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972" w:type="dxa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  <w:hideMark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1 раз в 3 года</w:t>
            </w:r>
          </w:p>
        </w:tc>
        <w:tc>
          <w:tcPr>
            <w:tcW w:w="4298" w:type="dxa"/>
            <w:gridSpan w:val="2"/>
            <w:tcBorders>
              <w:top w:val="single" w:sz="6" w:space="0" w:color="36965B"/>
              <w:left w:val="single" w:sz="6" w:space="0" w:color="36965B"/>
              <w:bottom w:val="single" w:sz="6" w:space="0" w:color="36965B"/>
              <w:right w:val="single" w:sz="6" w:space="0" w:color="36965B"/>
            </w:tcBorders>
            <w:shd w:val="clear" w:color="auto" w:fill="auto"/>
            <w:vAlign w:val="center"/>
          </w:tcPr>
          <w:p w:rsidR="00D73BAA" w:rsidRPr="00A32A17" w:rsidRDefault="00D73BAA" w:rsidP="001D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</w:pPr>
            <w:r w:rsidRPr="00A32A17">
              <w:rPr>
                <w:rFonts w:ascii="Arial" w:eastAsia="Times New Roman" w:hAnsi="Arial" w:cs="Arial"/>
                <w:b/>
                <w:color w:val="auto"/>
                <w:spacing w:val="0"/>
                <w:w w:val="100"/>
                <w:sz w:val="22"/>
                <w:szCs w:val="22"/>
                <w:lang w:eastAsia="ru-RU"/>
              </w:rPr>
              <w:t>ежегодно</w:t>
            </w:r>
          </w:p>
        </w:tc>
      </w:tr>
    </w:tbl>
    <w:p w:rsidR="00D73BAA" w:rsidRPr="00A32A17" w:rsidRDefault="00D73BAA" w:rsidP="00D73B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pacing w:val="0"/>
          <w:w w:val="100"/>
          <w:sz w:val="32"/>
          <w:szCs w:val="32"/>
          <w:lang w:eastAsia="ru-RU"/>
        </w:rPr>
        <w:sectPr w:rsidR="00D73BAA" w:rsidRPr="00A32A17" w:rsidSect="00D450BE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D73BAA" w:rsidRPr="00A32A17" w:rsidRDefault="00D73BAA" w:rsidP="00D73BAA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eastAsia="Times New Roman" w:hAnsi="Arial" w:cs="Arial"/>
          <w:b/>
          <w:color w:val="auto"/>
          <w:spacing w:val="0"/>
          <w:w w:val="100"/>
          <w:sz w:val="28"/>
          <w:szCs w:val="28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sz w:val="28"/>
          <w:szCs w:val="28"/>
          <w:lang w:eastAsia="ru-RU"/>
        </w:rPr>
        <w:lastRenderedPageBreak/>
        <w:t>ВТОРОЙ ЭТАП ДИСПАНСЕРИЗАЦИИ</w:t>
      </w:r>
    </w:p>
    <w:p w:rsidR="00D73BAA" w:rsidRPr="00A32A17" w:rsidRDefault="00D73BAA" w:rsidP="00D73BAA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eastAsia="Times New Roman" w:hAnsi="Arial" w:cs="Arial"/>
          <w:b/>
          <w:color w:val="auto"/>
          <w:spacing w:val="0"/>
          <w:w w:val="100"/>
          <w:sz w:val="28"/>
          <w:szCs w:val="28"/>
          <w:lang w:eastAsia="ru-RU"/>
        </w:rPr>
      </w:pP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color w:val="auto"/>
          <w:spacing w:val="0"/>
          <w:w w:val="100"/>
          <w:lang w:eastAsia="ru-RU"/>
        </w:rPr>
        <w:t>ПРИ НАЛИЧИИ ПОКАЗАНИЙ</w:t>
      </w:r>
      <w:r w:rsidRPr="00A32A17">
        <w:rPr>
          <w:rFonts w:ascii="Arial" w:eastAsia="Times New Roman" w:hAnsi="Arial" w:cs="Arial"/>
          <w:color w:val="auto"/>
          <w:spacing w:val="0"/>
          <w:w w:val="100"/>
          <w:lang w:eastAsia="ru-RU"/>
        </w:rPr>
        <w:t xml:space="preserve"> граждане, нуждающиеся по результатам первого этапа диспансеризации в дополнительном обследовании, направляются врачом-терапевтом на второй этап диспансеризации. 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i/>
          <w:color w:val="auto"/>
          <w:spacing w:val="0"/>
          <w:w w:val="100"/>
          <w:lang w:eastAsia="ru-RU"/>
        </w:rPr>
      </w:pPr>
      <w:r w:rsidRPr="00A32A17">
        <w:rPr>
          <w:rFonts w:ascii="Arial" w:eastAsia="Times New Roman" w:hAnsi="Arial" w:cs="Arial"/>
          <w:b/>
          <w:i/>
          <w:color w:val="auto"/>
          <w:spacing w:val="0"/>
          <w:w w:val="100"/>
          <w:lang w:eastAsia="ru-RU"/>
        </w:rPr>
        <w:t>НА ВТОРОМ ЭТАПЕ ДИСПАНСЕРИЗАЦИИ НАЗНАЧАЮТСЯ ТОЛЬКО ТЕ ВИДЫ ОБСЛЕДОВАНИЙ, КОТОРЫЕ НЕОБХОДИМЫ ПАЦИЕНТУ ПО ЕГО ЗАБОЛЕВАНИЮ (СОСТОЯНИЮ).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На втором этапе диспансеризации могут быть назначены следующие обследования: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1) осмотр (консультация) врачом-неврологом;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2) дуплексное сканирование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брахиоцефальных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артерий;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3) осмотр (консультация) врачом-хирургом или врачом-урологом (для мужчин в возрасте 45, 50, 55, 60 и 64 лет при повышении уровня </w:t>
      </w:r>
      <w:proofErr w:type="gram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простат-специфического</w:t>
      </w:r>
      <w:proofErr w:type="gram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антигена в крови более 4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нг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/мл);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4) осмотр (консультация) врачом-хирургом или врачом-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колопроктологом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, включая проведение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ректороманоскопии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(для граждан в возрасте от 40 до 75 лет включительно);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5)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колоноскопия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6)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эзофагогастродуоденоскопия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7) рентгенография легких, компьютерная томография легких;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8) спирометрия;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9) осмотр (консультация) врачом-акушером-гинекологом;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10) осмотр (консультация) врачом-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оториноларингологом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(для граждан в возрасте 65 лет);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коррекции);</w:t>
      </w:r>
      <w:r w:rsidRPr="00D51B28">
        <w:rPr>
          <w:rFonts w:ascii="Calibri" w:eastAsiaTheme="minorEastAsia" w:hAnsi="Calibri" w:cs="Calibri"/>
          <w:color w:val="auto"/>
          <w:spacing w:val="0"/>
          <w:w w:val="100"/>
          <w:sz w:val="22"/>
          <w:szCs w:val="22"/>
          <w:lang w:eastAsia="ru-RU"/>
        </w:rPr>
        <w:t xml:space="preserve"> 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12) осмотр (консультация) врачом-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дерматовенерологом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, включая проведение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дерматоскопии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13) проведение исследования уровня </w:t>
      </w:r>
      <w:proofErr w:type="spell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гликированного</w:t>
      </w:r>
      <w:proofErr w:type="spell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73BAA" w:rsidRPr="00D51B28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auto"/>
          <w:spacing w:val="0"/>
          <w:w w:val="100"/>
          <w:sz w:val="22"/>
          <w:szCs w:val="22"/>
          <w:lang w:eastAsia="ru-RU"/>
        </w:rPr>
      </w:pP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граждан;</w:t>
      </w:r>
    </w:p>
    <w:p w:rsidR="00D73BAA" w:rsidRPr="00A32A17" w:rsidRDefault="00D73BAA" w:rsidP="00D73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auto"/>
          <w:spacing w:val="0"/>
          <w:w w:val="100"/>
          <w:lang w:eastAsia="ru-RU"/>
        </w:rPr>
      </w:pPr>
      <w:bookmarkStart w:id="3" w:name="Par209"/>
      <w:bookmarkEnd w:id="3"/>
      <w:proofErr w:type="gramStart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1</w:t>
      </w:r>
      <w:r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>5</w:t>
      </w:r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8" w:history="1">
        <w:r w:rsidRPr="00D51B28">
          <w:rPr>
            <w:rFonts w:ascii="Arial" w:eastAsia="Times New Roman" w:hAnsi="Arial" w:cs="Arial"/>
            <w:color w:val="auto"/>
            <w:spacing w:val="0"/>
            <w:w w:val="100"/>
            <w:sz w:val="22"/>
            <w:szCs w:val="22"/>
            <w:lang w:eastAsia="ru-RU"/>
          </w:rPr>
          <w:t>Порядком</w:t>
        </w:r>
      </w:hyperlink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оказания медицинской помощи взрослому</w:t>
      </w:r>
      <w:proofErr w:type="gramEnd"/>
      <w:r w:rsidRPr="00D51B28"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 населению при онкологических заболеваниях, утвержденным приказом Минздрава России от 19.02.2021г. N 116н, а также для получения специализированной, в том числе высокотехнологичной, медицинской помощи</w:t>
      </w:r>
      <w:r>
        <w:rPr>
          <w:rFonts w:ascii="Arial" w:eastAsia="Times New Roman" w:hAnsi="Arial" w:cs="Arial"/>
          <w:color w:val="auto"/>
          <w:spacing w:val="0"/>
          <w:w w:val="100"/>
          <w:sz w:val="22"/>
          <w:szCs w:val="22"/>
          <w:lang w:eastAsia="ru-RU"/>
        </w:rPr>
        <w:t xml:space="preserve">, </w:t>
      </w:r>
      <w:r w:rsidRPr="00D51B28">
        <w:rPr>
          <w:rFonts w:ascii="Arial" w:eastAsia="Times New Roman" w:hAnsi="Arial" w:cs="Arial"/>
          <w:bCs/>
          <w:color w:val="auto"/>
          <w:spacing w:val="0"/>
          <w:w w:val="100"/>
          <w:sz w:val="22"/>
          <w:szCs w:val="22"/>
          <w:lang w:eastAsia="ru-RU"/>
        </w:rPr>
        <w:t>на санаторно-курортное лечение</w:t>
      </w:r>
      <w:r>
        <w:rPr>
          <w:rFonts w:ascii="Arial" w:eastAsia="Times New Roman" w:hAnsi="Arial" w:cs="Arial"/>
          <w:bCs/>
          <w:color w:val="auto"/>
          <w:spacing w:val="0"/>
          <w:w w:val="100"/>
          <w:sz w:val="22"/>
          <w:szCs w:val="22"/>
          <w:lang w:eastAsia="ru-RU"/>
        </w:rPr>
        <w:t>.</w:t>
      </w:r>
    </w:p>
    <w:sectPr w:rsidR="00D73BAA" w:rsidRPr="00A32A17" w:rsidSect="00AC6187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AA"/>
    <w:rsid w:val="00104E4C"/>
    <w:rsid w:val="001C7E57"/>
    <w:rsid w:val="003C043D"/>
    <w:rsid w:val="00C76E10"/>
    <w:rsid w:val="00C9660F"/>
    <w:rsid w:val="00D01789"/>
    <w:rsid w:val="00D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A"/>
    <w:rPr>
      <w:rFonts w:ascii="Times New Roman" w:hAnsi="Times New Roman" w:cs="Times New Roman"/>
      <w:color w:val="000000"/>
      <w:spacing w:val="2"/>
      <w:w w:val="4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AA"/>
    <w:rPr>
      <w:rFonts w:ascii="Times New Roman" w:hAnsi="Times New Roman" w:cs="Times New Roman"/>
      <w:color w:val="000000"/>
      <w:spacing w:val="2"/>
      <w:w w:val="4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7E4BCFC722DBAB10C1969A0637BFCB74D3B80B583283A033AA713B19732FD55CC5F13F6F003C7E9DD54E2EF2449853BC877FDBDC3E0AD01A12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Relationship Id="rId5" Type="http://schemas.openxmlformats.org/officeDocument/2006/relationships/hyperlink" Target="file:///C:\Users\Ryazanova\Documents\Documents\&#1040;&#1075;&#1080;&#1090;&#1072;&#1094;&#1080;&#1103;\&#1055;&#1088;&#1086;&#1077;&#1082;&#1090;&#1099;%202019\&#1054;&#1073;&#1098;&#1077;&#1084;%20&#1076;&#1080;&#1089;&#1087;%20124&#1085;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3</cp:revision>
  <dcterms:created xsi:type="dcterms:W3CDTF">2023-08-29T08:47:00Z</dcterms:created>
  <dcterms:modified xsi:type="dcterms:W3CDTF">2023-08-29T12:18:00Z</dcterms:modified>
</cp:coreProperties>
</file>