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37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Методические рекомендации</w:t>
      </w:r>
    </w:p>
    <w:p>
      <w:pPr>
        <w:spacing w:before="100" w:after="100" w:line="240"/>
        <w:ind w:right="0" w:left="37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Регламенту информационного взаимодействия участников при расчетах</w:t>
      </w:r>
    </w:p>
    <w:p>
      <w:pPr>
        <w:spacing w:before="0" w:after="0" w:line="240"/>
        <w:ind w:right="0" w:left="37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медицинскую помощь по обязательному медицинскому страхованию, оказанную застрахованным лицам на территории Псковской области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Расчеты коэффициентов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расчете КСЛП по длительности лечения в круглосуточном стационаре коэффициент округляется до 2 знаков после запятой. Формула для расчета утверждена Тарифным соглашением.</w:t>
      </w:r>
    </w:p>
    <w:p>
      <w:pPr>
        <w:spacing w:before="0" w:after="0" w:line="240"/>
        <w:ind w:right="0" w:left="357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расчете суммы для оплаты по подушевому финансированию коэффициент результативности округляется до 10 знаков после запятой.</w:t>
      </w:r>
    </w:p>
    <w:p>
      <w:pPr>
        <w:spacing w:before="0" w:after="0" w:line="240"/>
        <w:ind w:right="0" w:left="3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превышении объемов страховой медицинской организацией рассчитывается понижающий коэффициент с округлением до 10 знаков после запятой. </w:t>
      </w:r>
    </w:p>
    <w:p>
      <w:pPr>
        <w:spacing w:before="0" w:after="0" w:line="240"/>
        <w:ind w:right="0" w:left="357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этом, коэффициент применяется к каждому случаю по контролируемому профилю. Разница между итоговой суммой после применения коэффициента к каждому случаю и плановой, при наличии, учитывается в последнем случае профиля.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Подушевое финансирование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значения сумм услуг и случая (элементы SUMV_USL и SUMV) по подушевому финансированию в реестре равны 0.</w:t>
      </w: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случай оказанный в рамках подушевого финансирования должен быть тарифицирован (элементы TARIF в сведениях об услуге и о случае) по тарифам на медицинские услуги для МО не имеющих прикрепленного населения. Обращаем Ваше внимание, что для обращений все посещения в рамках обращения необходимо отражать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сведениях об услуге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(в блоке USL). В тег &lt;CODE_USL&gt; для каждого посещения записывается код обращения по справочнику T009, тариф проставляется на последнее (определяется по дате) посещение в обращении.</w:t>
      </w: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сумма счета (элемент SUMMAV) складывается из суммы случаев всех услуг не относящихся к подушевому финансированию и суммы подушевого финансирования(теги SUM_POD и SUM_SMP) на месяц, утвержденное Тарифным соглашением с учетом применения алгоритмов расчета по критериям (показателям результативности);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Обращения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посещения в рамках обращения необходимо отражать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об услуге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(в блоке USL). В тег &lt;CODE_USL&gt; для каждого посещения записывается код обращения по справочнику T009, тариф проставляется на последнее (определяется по дате) посещение в обращении. Для МО не имеющих прикрепленного населения необходимо заполнять теги  SUMV_USL(в сведениях об услугу) и SUMV(в сведениях о случае).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каждого посещения в обращении создается свой блок  USL, где отражается дата каждого посещения. Если в рамках обращения были посещения у разных специалистов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одного профиля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то в сведениях об услуге должен стоять код специалиста, который принимал пациента  в день посещения, а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 случае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 код специалиста,  закрывшего талон.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Допускается для терапевтических случаев врачей терапевтов, врачей общей практики и  фельдшеров, наделенных функцией терапевтов объединять в один законченный случай</w:t>
      </w:r>
    </w:p>
    <w:p>
      <w:pPr>
        <w:spacing w:before="40" w:after="40" w:line="24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40" w:after="40" w:line="240"/>
        <w:ind w:right="0" w:left="72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40" w:after="40" w:line="240"/>
        <w:ind w:right="0" w:left="72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Стоматология</w:t>
      </w:r>
    </w:p>
    <w:p>
      <w:pPr>
        <w:spacing w:before="40" w:after="4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стоматологии оплачиваются по уетам, в сведениях о случае в тегах ED_COL отражается суммарное  количество ует всех услуг в рамках одного случая с одним диагнозом. В сведениях об услуге в теге &lt;KOL_USL&gt;, заполняется кратность услуг.</w:t>
      </w:r>
    </w:p>
    <w:p>
      <w:pPr>
        <w:spacing w:before="40" w:after="40" w:line="240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Диспансеризация взрослого населения</w:t>
      </w:r>
    </w:p>
    <w:p>
      <w:pPr>
        <w:spacing w:before="40" w:after="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более 85% услуг выполнены в рамках проведения диспансеризации (до 30 дней от даты заключительного осмотра терапевта по 1 этапу), а менее 15% - отказы и (или) выполнены ранее, то есть вне сроков проведения диспансеризации (более 30 дней), оплата производится по тарифу законченного случая. В реестре применяются наборы услуг: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без тарифа для мужчин и для женщин,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одна услуга с тарифом законченного случая,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коды услуг начинаются на 610 для мужчин  и 612 для женщин (Справочник T004 )</w:t>
      </w:r>
    </w:p>
    <w:p>
      <w:pPr>
        <w:spacing w:before="0" w:after="12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объем услуг выполненных вне рамок диспансеризации (более 30 дней от даты посещения терапевта) составляет более 15% объема, установленного для данного пола и возраста, случай формируется с услугами:</w: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с тарифами выполненные в сроки проведения диспансеризации для мужчин и для женщин;</w:t>
      </w:r>
    </w:p>
    <w:p>
      <w:pPr>
        <w:numPr>
          <w:ilvl w:val="0"/>
          <w:numId w:val="20"/>
        </w:num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без тарифа выполненные вне периода проведения диспансеризации (более 30 дней) и (или) отказы из набора для мужчин и для женщин</w:t>
      </w:r>
    </w:p>
    <w:p>
      <w:pPr>
        <w:numPr>
          <w:ilvl w:val="0"/>
          <w:numId w:val="20"/>
        </w:num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коды услуг начинаются на 611 для мужчин  и 613 для женщин (Справочник T004 ).</w:t>
      </w:r>
    </w:p>
    <w:p>
      <w:pPr>
        <w:spacing w:before="0" w:after="12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Законченный случай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без полного (100%)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набора услуг оплате не подлежит.</w:t>
      </w:r>
    </w:p>
    <w:p>
      <w:pPr>
        <w:spacing w:before="40" w:after="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Особенности при формировании счетов реестров по стационарной МП: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при переводе пациента из одно отделение в другое оплата осуществляется по двум КСГ (инструкция КСГ 2016) , то формируются два законченных случая.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формировании реестров по КСГ необходимо отражать все движения по отделениям, операции и услуги по Номенклатуре в отдельных блоках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рамках одного законченного случая. При переводах (в рамках одного случая) оплата производится по самому дорогому КСГ, он записывается в тег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CODE_MES1&gt;,второй КСГ записывается в &lt;CODE_MES2&gt;.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тегах &lt;CODE_USL&gt;  для оформления услуг по КСГ необходимо записывать REC_ID из группировщика, для операций и услуг - код услуги из Номенклатуры.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если был перевод из отделения терапии в хирургию  и была проведена операция  A16.16.021, то в случае будет три блока USL (два КСГ и операция)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лучай оформляется следующим образом: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2"/>
          <w:shd w:fill="auto" w:val="clear"/>
        </w:rPr>
        <w:t xml:space="preserve">&lt;SLUCH&gt;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&lt;IDCASE&gt;1&lt;/IDCASE&gt;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&lt;USL_OK&gt;1&lt;/USL_OK&gt;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&lt;VIDPOM&gt;31&lt;/VIDPOM&gt;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&lt;FOR_POM&gt;1&lt;/FOR_POM&gt;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&lt;EXTR&gt;2&lt;/EXTR&gt;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&lt;LPU&gt;600031&lt;/LPU&gt;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&lt;PODR&gt;010112&lt;/PODR&gt;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&lt;PROFIL&gt;112&lt;/PROFIL&gt;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&lt;DET&gt;1&lt;/DET&gt;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&lt;NHISTORY&gt;1&lt;/NHISTORY&gt;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&lt;DATE_1&gt;2016-05-12&lt;/DATE_1&gt;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&lt;DATE_2&gt;2016-05-22&lt;/DATE_2&gt;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&lt;DS1&gt;K25.1&lt;/DS1&gt;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&lt;CODE_MES1&gt;263&lt;/CODE_MES1&gt;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&lt;CODE_MES2&gt;17&lt;/CODE_MES2&gt;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&lt;RSLT&gt;101&lt;/RSLT&gt;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&lt;ISHOD&gt;102&lt;/ISHOD&gt;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&lt;PRVS&gt;30&lt;/PRVS&gt;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&lt;VERS_SPEC&gt;V015&lt;/VERS_SPEC&gt;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&lt;IDDOKT&gt;12&lt;/IDDOKT&gt;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&lt;IDSP&gt;33&lt;/IDSP&gt;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&lt;ED_COL&gt;11&lt;/ED_COL&gt;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&lt;TARIF&gt;30712.50&lt;/TARIF&gt;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&lt;SUMV&gt;30712.50&lt;/SUMV&gt;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&lt;USL&gt;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&lt;IDSERV&gt;1&lt;/IDSERV&gt;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&lt;LPU&gt;600031&lt;/LPU&gt;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&lt;PODR&gt;010112&lt;/PODR&gt;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&lt;PROFIL&gt;112&lt;/PROFIL&gt;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&lt;DET&gt;1&lt;/DET&gt;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&lt;DATE_IN&gt;2016-05-15&lt;/DATE_IN&gt;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&lt;DATE_OUT&gt;2016-05-22&lt;/DATE_OUT&gt;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&lt;DS&gt;K25.1&lt;/DS&gt;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&lt;CODE_USL&gt;22795&lt;/CODE_USL&gt;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&lt;KOL_USL&gt;8&lt;/KOL_USL&gt;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&lt;TARIF&gt;30712.50&lt;/TARIF&gt;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&lt;SUMV_USL&gt;30712.50&lt;/SUMV_USL&gt;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&lt;PRVS&gt;30&lt;/PRVS&gt;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&lt;CODE_MD&gt;12&lt;/CODE_MD&gt;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&lt;/USL&gt;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&lt;USL&gt;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&lt;IDSERV&gt;2&lt;/IDSERV&gt;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&lt;LPU&gt;600031&lt;/LPU&gt;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&lt;PODR&gt;010112&lt;/PODR&gt;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&lt;PROFIL&gt;112&lt;/PROFIL&gt;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&lt;DET&gt;0&lt;/DET&gt;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&lt;DATE_IN&gt;2016-05-15&lt;/DATE_IN&gt;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&lt;DATE_OUT&gt;2016-05-15&lt;/DATE_OUT&gt;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&lt;DS&gt;K25.1&lt;/DS&gt;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&lt;CODE_USL&gt;A16.16.021&lt;/CODE_USL&gt;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&lt;KOL_USL&gt;1.00&lt;/KOL_USL&gt;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&lt;SUMV_USL&gt;0.00&lt;/SUMV_USL&gt;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&lt;PRVS&gt;30&lt;/PRVS&gt;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&lt;CODE_MD&gt;12&lt;/CODE_MD&gt;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&lt;/USL&gt;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&lt;USL&gt;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&lt;IDSERV&gt;3&lt;/IDSERV&gt;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&lt;LPU&gt;600031&lt;/LPU&gt;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&lt;PODR&gt;010097&lt;/PODR&gt;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&lt;PROFIL&gt;97&lt;/PROFIL&gt;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&lt;DET&gt;0&lt;/DET&gt;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&lt;DATE_IN&gt;2016-05-12&lt;/DATE_IN&gt;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&lt;DATE_OUT&gt;2016-05-14&lt;/DATE_OUT&gt;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&lt;DS&gt;K25.1&lt;/DS&gt;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&lt;CODE_USL&gt;1792&lt;/CODE_USL&gt;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&lt;KOL_USL&gt;3&lt;/KOL_USL&gt;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&lt;SUMV_USL&gt;0.00&lt;/SUMV_USL&gt;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&lt;PRVS&gt;27&lt;/PRVS&gt;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&lt;CODE_MD&gt;27&lt;/CODE_MD&gt;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&lt;/USL&gt;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&lt;/SLUCH&gt;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